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"/>
        <w:gridCol w:w="2431"/>
        <w:gridCol w:w="2431"/>
        <w:gridCol w:w="2438"/>
        <w:gridCol w:w="2430"/>
        <w:gridCol w:w="8"/>
      </w:tblGrid>
      <w:tr w:rsidR="001D26AF" w14:paraId="5B69763B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9746" w:type="dxa"/>
            <w:gridSpan w:val="5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3864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72E9E790" w14:textId="77777777" w:rsidR="001D26AF" w:rsidRDefault="00000000">
            <w:pPr>
              <w:spacing w:before="80" w:after="20"/>
              <w:jc w:val="center"/>
            </w:pPr>
            <w:r>
              <w:rPr>
                <w:b/>
                <w:bCs/>
                <w:color w:val="FFFFFF"/>
                <w:sz w:val="36"/>
                <w:szCs w:val="36"/>
              </w:rPr>
              <w:t>JUSTIFICATION DE MISE À JOUR</w:t>
            </w:r>
          </w:p>
          <w:p w14:paraId="12658344" w14:textId="77777777" w:rsidR="001D26AF" w:rsidRDefault="00000000">
            <w:pPr>
              <w:spacing w:after="80"/>
              <w:jc w:val="center"/>
            </w:pPr>
            <w:r>
              <w:rPr>
                <w:b/>
                <w:bCs/>
                <w:color w:val="FFFFFF"/>
                <w:sz w:val="36"/>
                <w:szCs w:val="36"/>
              </w:rPr>
              <w:t>DES LIMITES DE CONTRÔLE SST</w:t>
            </w:r>
          </w:p>
        </w:tc>
      </w:tr>
      <w:tr w:rsidR="001D26AF" w14:paraId="1FA5F0A9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8" w:type="dxa"/>
        </w:trPr>
        <w:tc>
          <w:tcPr>
            <w:tcW w:w="2433" w:type="dxa"/>
            <w:tcBorders>
              <w:top w:val="single" w:sz="6" w:space="0" w:color="1F3864"/>
              <w:left w:val="single" w:sz="6" w:space="0" w:color="1F3864"/>
              <w:bottom w:val="single" w:sz="6" w:space="0" w:color="1F3864"/>
              <w:right w:val="single" w:sz="6" w:space="0" w:color="1F3864"/>
            </w:tcBorders>
            <w:shd w:val="clear" w:color="auto" w:fill="2E75B6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77E9ADEA" w14:textId="77777777" w:rsidR="001D26A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Méthode</w:t>
            </w:r>
          </w:p>
        </w:tc>
        <w:tc>
          <w:tcPr>
            <w:tcW w:w="2433" w:type="dxa"/>
            <w:tcBorders>
              <w:top w:val="single" w:sz="6" w:space="0" w:color="1F3864"/>
              <w:left w:val="single" w:sz="6" w:space="0" w:color="1F3864"/>
              <w:bottom w:val="single" w:sz="6" w:space="0" w:color="1F3864"/>
              <w:right w:val="single" w:sz="6" w:space="0" w:color="1F3864"/>
            </w:tcBorders>
            <w:shd w:val="clear" w:color="auto" w:fill="2E75B6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5AC1ED35" w14:textId="77777777" w:rsidR="001D26A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Date</w:t>
            </w:r>
          </w:p>
        </w:tc>
        <w:tc>
          <w:tcPr>
            <w:tcW w:w="2440" w:type="dxa"/>
            <w:tcBorders>
              <w:top w:val="single" w:sz="6" w:space="0" w:color="1F3864"/>
              <w:left w:val="single" w:sz="6" w:space="0" w:color="1F3864"/>
              <w:bottom w:val="single" w:sz="6" w:space="0" w:color="1F3864"/>
              <w:right w:val="single" w:sz="6" w:space="0" w:color="1F3864"/>
            </w:tcBorders>
            <w:shd w:val="clear" w:color="auto" w:fill="2E75B6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5CB5E631" w14:textId="77777777" w:rsidR="001D26A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Version</w:t>
            </w:r>
          </w:p>
        </w:tc>
        <w:tc>
          <w:tcPr>
            <w:tcW w:w="2440" w:type="dxa"/>
            <w:gridSpan w:val="2"/>
            <w:tcBorders>
              <w:top w:val="single" w:sz="6" w:space="0" w:color="1F3864"/>
              <w:left w:val="single" w:sz="6" w:space="0" w:color="1F3864"/>
              <w:bottom w:val="single" w:sz="6" w:space="0" w:color="1F3864"/>
              <w:right w:val="single" w:sz="6" w:space="0" w:color="1F3864"/>
            </w:tcBorders>
            <w:shd w:val="clear" w:color="auto" w:fill="2E75B6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494CBAC5" w14:textId="77777777" w:rsidR="001D26A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Statut</w:t>
            </w:r>
          </w:p>
        </w:tc>
      </w:tr>
      <w:tr w:rsidR="001D26AF" w14:paraId="2FF63539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8" w:type="dxa"/>
        </w:trPr>
        <w:tc>
          <w:tcPr>
            <w:tcW w:w="24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3C0E35BF" w14:textId="77777777" w:rsidR="001D26AF" w:rsidRDefault="00000000">
            <w:pPr>
              <w:spacing w:before="60" w:after="60"/>
              <w:jc w:val="center"/>
            </w:pPr>
            <w:r>
              <w:rPr>
                <w:b/>
                <w:bCs/>
                <w:color w:val="1F3864"/>
              </w:rPr>
              <w:t>METH-HPLC-CARD-001</w:t>
            </w:r>
          </w:p>
        </w:tc>
        <w:tc>
          <w:tcPr>
            <w:tcW w:w="24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2F2F2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0830BCA1" w14:textId="77777777" w:rsidR="001D26AF" w:rsidRDefault="00000000">
            <w:pPr>
              <w:spacing w:before="60" w:after="60"/>
              <w:jc w:val="center"/>
            </w:pPr>
            <w:r>
              <w:t>30/09/2026</w:t>
            </w:r>
          </w:p>
        </w:tc>
        <w:tc>
          <w:tcPr>
            <w:tcW w:w="2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50C1109A" w14:textId="77777777" w:rsidR="001D26AF" w:rsidRDefault="00000000">
            <w:pPr>
              <w:spacing w:before="60" w:after="60"/>
              <w:jc w:val="center"/>
            </w:pPr>
            <w:r>
              <w:t>1.0</w:t>
            </w:r>
          </w:p>
        </w:tc>
        <w:tc>
          <w:tcPr>
            <w:tcW w:w="24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2EFDA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19A6D2EB" w14:textId="77777777" w:rsidR="001D26AF" w:rsidRDefault="00000000">
            <w:pPr>
              <w:jc w:val="center"/>
            </w:pPr>
            <w:r>
              <w:rPr>
                <w:b/>
                <w:bCs/>
                <w:color w:val="375623"/>
                <w:sz w:val="20"/>
                <w:szCs w:val="20"/>
              </w:rPr>
              <w:t>APPROUVÉ</w:t>
            </w:r>
          </w:p>
        </w:tc>
      </w:tr>
    </w:tbl>
    <w:p w14:paraId="136499DC" w14:textId="77777777" w:rsidR="001D26AF" w:rsidRDefault="001D26AF">
      <w:pPr>
        <w:spacing w:before="240"/>
      </w:pPr>
    </w:p>
    <w:p w14:paraId="156F51B5" w14:textId="77777777" w:rsidR="001D26AF" w:rsidRDefault="00000000">
      <w:pPr>
        <w:pBdr>
          <w:bottom w:val="single" w:sz="8" w:space="4" w:color="2E75B6"/>
        </w:pBdr>
        <w:spacing w:before="280" w:after="100"/>
      </w:pPr>
      <w:r>
        <w:rPr>
          <w:b/>
          <w:bCs/>
          <w:color w:val="2E75B6"/>
          <w:sz w:val="26"/>
          <w:szCs w:val="26"/>
        </w:rPr>
        <w:t xml:space="preserve">1.  </w:t>
      </w:r>
      <w:r>
        <w:rPr>
          <w:b/>
          <w:bCs/>
          <w:color w:val="1F3864"/>
          <w:sz w:val="26"/>
          <w:szCs w:val="26"/>
        </w:rPr>
        <w:t>CONTEXTE</w:t>
      </w:r>
    </w:p>
    <w:p w14:paraId="6A9E5CDA" w14:textId="77777777" w:rsidR="001D26AF" w:rsidRDefault="00000000">
      <w:pPr>
        <w:spacing w:before="80" w:after="40"/>
      </w:pPr>
      <w:r>
        <w:t>Après 2,5 ans de données accumulées, une revue statistique a été conduite pour affiner les limites de contrôle SST de la méthode METH-HPLC-CARD-001.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946"/>
      </w:tblGrid>
      <w:tr w:rsidR="001D26AF" w14:paraId="2DF3423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EBF3FB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585CF7B4" w14:textId="77777777" w:rsidR="001D26AF" w:rsidRDefault="00000000">
            <w:r>
              <w:rPr>
                <w:b/>
                <w:bCs/>
                <w:color w:val="1F3864"/>
                <w:sz w:val="20"/>
                <w:szCs w:val="20"/>
              </w:rPr>
              <w:t>Durée totale</w:t>
            </w:r>
          </w:p>
        </w:tc>
        <w:tc>
          <w:tcPr>
            <w:tcW w:w="694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01978C6F" w14:textId="77777777" w:rsidR="001D26AF" w:rsidRDefault="00000000">
            <w:r>
              <w:rPr>
                <w:sz w:val="20"/>
                <w:szCs w:val="20"/>
              </w:rPr>
              <w:t>2,5 ans (Avril 2024 – Septembre 2026)</w:t>
            </w:r>
          </w:p>
        </w:tc>
      </w:tr>
      <w:tr w:rsidR="001D26AF" w14:paraId="36CE351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EBF3FB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683FDAD2" w14:textId="77777777" w:rsidR="001D26AF" w:rsidRDefault="00000000">
            <w:r>
              <w:rPr>
                <w:b/>
                <w:bCs/>
                <w:color w:val="1F3864"/>
                <w:sz w:val="20"/>
                <w:szCs w:val="20"/>
              </w:rPr>
              <w:t>Site A — Émetteur</w:t>
            </w:r>
          </w:p>
        </w:tc>
        <w:tc>
          <w:tcPr>
            <w:tcW w:w="694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74BAA162" w14:textId="77777777" w:rsidR="001D26AF" w:rsidRDefault="00000000">
            <w:r>
              <w:rPr>
                <w:sz w:val="20"/>
                <w:szCs w:val="20"/>
              </w:rPr>
              <w:t>24 mois de données historiques</w:t>
            </w:r>
          </w:p>
        </w:tc>
      </w:tr>
      <w:tr w:rsidR="001D26AF" w14:paraId="5BA2A5E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EBF3FB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1FD8BE4E" w14:textId="77777777" w:rsidR="001D26AF" w:rsidRDefault="00000000">
            <w:r>
              <w:rPr>
                <w:b/>
                <w:bCs/>
                <w:color w:val="1F3864"/>
                <w:sz w:val="20"/>
                <w:szCs w:val="20"/>
              </w:rPr>
              <w:t>Site B — Récepteur</w:t>
            </w:r>
          </w:p>
        </w:tc>
        <w:tc>
          <w:tcPr>
            <w:tcW w:w="694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59097A38" w14:textId="77777777" w:rsidR="001D26AF" w:rsidRDefault="00000000">
            <w:r>
              <w:rPr>
                <w:sz w:val="20"/>
                <w:szCs w:val="20"/>
              </w:rPr>
              <w:t>6 mois post-transfert</w:t>
            </w:r>
          </w:p>
        </w:tc>
      </w:tr>
    </w:tbl>
    <w:p w14:paraId="09C3C73F" w14:textId="77777777" w:rsidR="001D26AF" w:rsidRDefault="00000000">
      <w:pPr>
        <w:pBdr>
          <w:bottom w:val="single" w:sz="8" w:space="4" w:color="2E75B6"/>
        </w:pBdr>
        <w:spacing w:before="280" w:after="100"/>
      </w:pPr>
      <w:r>
        <w:rPr>
          <w:b/>
          <w:bCs/>
          <w:color w:val="2E75B6"/>
          <w:sz w:val="26"/>
          <w:szCs w:val="26"/>
        </w:rPr>
        <w:t xml:space="preserve">2.  </w:t>
      </w:r>
      <w:r>
        <w:rPr>
          <w:b/>
          <w:bCs/>
          <w:color w:val="1F3864"/>
          <w:sz w:val="26"/>
          <w:szCs w:val="26"/>
        </w:rPr>
        <w:t>DONNÉES ANALYSÉES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946"/>
      </w:tblGrid>
      <w:tr w:rsidR="001D26AF" w14:paraId="5FA2E71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EBF3FB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36BF6912" w14:textId="77777777" w:rsidR="001D26AF" w:rsidRDefault="00000000">
            <w:r>
              <w:rPr>
                <w:b/>
                <w:bCs/>
                <w:color w:val="1F3864"/>
                <w:sz w:val="20"/>
                <w:szCs w:val="20"/>
              </w:rPr>
              <w:t>Paramètre</w:t>
            </w:r>
          </w:p>
        </w:tc>
        <w:tc>
          <w:tcPr>
            <w:tcW w:w="694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682E9F51" w14:textId="77777777" w:rsidR="001D26AF" w:rsidRDefault="00000000">
            <w:r>
              <w:rPr>
                <w:sz w:val="20"/>
                <w:szCs w:val="20"/>
              </w:rPr>
              <w:t>%RSD des 6 injections de standard SST</w:t>
            </w:r>
          </w:p>
        </w:tc>
      </w:tr>
      <w:tr w:rsidR="001D26AF" w14:paraId="2F0665F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EBF3FB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0787BF63" w14:textId="77777777" w:rsidR="001D26AF" w:rsidRDefault="00000000">
            <w:r>
              <w:rPr>
                <w:b/>
                <w:bCs/>
                <w:color w:val="1F3864"/>
                <w:sz w:val="20"/>
                <w:szCs w:val="20"/>
              </w:rPr>
              <w:t>N total</w:t>
            </w:r>
          </w:p>
        </w:tc>
        <w:tc>
          <w:tcPr>
            <w:tcW w:w="694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7DC5F9A0" w14:textId="77777777" w:rsidR="001D26AF" w:rsidRDefault="00000000">
            <w:r>
              <w:rPr>
                <w:sz w:val="20"/>
                <w:szCs w:val="20"/>
              </w:rPr>
              <w:t>200 séries indépendantes</w:t>
            </w:r>
          </w:p>
        </w:tc>
      </w:tr>
      <w:tr w:rsidR="001D26AF" w14:paraId="3ACCB2A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EBF3FB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23826B81" w14:textId="77777777" w:rsidR="001D26AF" w:rsidRDefault="00000000">
            <w:r>
              <w:rPr>
                <w:b/>
                <w:bCs/>
                <w:color w:val="1F3864"/>
                <w:sz w:val="20"/>
                <w:szCs w:val="20"/>
              </w:rPr>
              <w:t>Période</w:t>
            </w:r>
          </w:p>
        </w:tc>
        <w:tc>
          <w:tcPr>
            <w:tcW w:w="694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5D63053C" w14:textId="77777777" w:rsidR="001D26AF" w:rsidRDefault="00000000">
            <w:r>
              <w:rPr>
                <w:sz w:val="20"/>
                <w:szCs w:val="20"/>
              </w:rPr>
              <w:t>Avril 2024 – Septembre 2026</w:t>
            </w:r>
          </w:p>
        </w:tc>
      </w:tr>
      <w:tr w:rsidR="001D26AF" w14:paraId="3C36D9F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EBF3FB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59EF758E" w14:textId="77777777" w:rsidR="001D26AF" w:rsidRDefault="00000000">
            <w:r>
              <w:rPr>
                <w:b/>
                <w:bCs/>
                <w:color w:val="1F3864"/>
                <w:sz w:val="20"/>
                <w:szCs w:val="20"/>
              </w:rPr>
              <w:t>Site A (n)</w:t>
            </w:r>
          </w:p>
        </w:tc>
        <w:tc>
          <w:tcPr>
            <w:tcW w:w="694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527DB934" w14:textId="77777777" w:rsidR="001D26AF" w:rsidRDefault="00000000">
            <w:r>
              <w:rPr>
                <w:sz w:val="20"/>
                <w:szCs w:val="20"/>
              </w:rPr>
              <w:t>150 séries — site émetteur</w:t>
            </w:r>
          </w:p>
        </w:tc>
      </w:tr>
      <w:tr w:rsidR="001D26AF" w14:paraId="205F84D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EBF3FB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1F544C38" w14:textId="77777777" w:rsidR="001D26AF" w:rsidRDefault="00000000">
            <w:r>
              <w:rPr>
                <w:b/>
                <w:bCs/>
                <w:color w:val="1F3864"/>
                <w:sz w:val="20"/>
                <w:szCs w:val="20"/>
              </w:rPr>
              <w:t>Site B (n)</w:t>
            </w:r>
          </w:p>
        </w:tc>
        <w:tc>
          <w:tcPr>
            <w:tcW w:w="694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7FFCCD5E" w14:textId="1514A536" w:rsidR="001D26AF" w:rsidRDefault="00000000">
            <w:r>
              <w:rPr>
                <w:sz w:val="20"/>
                <w:szCs w:val="20"/>
              </w:rPr>
              <w:t xml:space="preserve">50 séries — </w:t>
            </w:r>
            <w:r w:rsidR="00684AD6">
              <w:rPr>
                <w:sz w:val="20"/>
                <w:szCs w:val="20"/>
              </w:rPr>
              <w:t>Site B</w:t>
            </w:r>
            <w:r>
              <w:rPr>
                <w:sz w:val="20"/>
                <w:szCs w:val="20"/>
              </w:rPr>
              <w:t>, post-transfert</w:t>
            </w:r>
          </w:p>
        </w:tc>
      </w:tr>
    </w:tbl>
    <w:p w14:paraId="0B78D38D" w14:textId="77777777" w:rsidR="001D26AF" w:rsidRDefault="00000000">
      <w:pPr>
        <w:pBdr>
          <w:bottom w:val="single" w:sz="8" w:space="4" w:color="2E75B6"/>
        </w:pBdr>
        <w:spacing w:before="280" w:after="100"/>
      </w:pPr>
      <w:r>
        <w:rPr>
          <w:b/>
          <w:bCs/>
          <w:color w:val="2E75B6"/>
          <w:sz w:val="26"/>
          <w:szCs w:val="26"/>
        </w:rPr>
        <w:t xml:space="preserve">3.  </w:t>
      </w:r>
      <w:r>
        <w:rPr>
          <w:b/>
          <w:bCs/>
          <w:color w:val="1F3864"/>
          <w:sz w:val="26"/>
          <w:szCs w:val="26"/>
        </w:rPr>
        <w:t>ANALYSE STATISTIQUE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40"/>
        <w:gridCol w:w="3254"/>
        <w:gridCol w:w="3252"/>
      </w:tblGrid>
      <w:tr w:rsidR="001D26AF" w14:paraId="3AFA03CB" w14:textId="77777777">
        <w:tblPrEx>
          <w:tblCellMar>
            <w:top w:w="0" w:type="dxa"/>
            <w:bottom w:w="0" w:type="dxa"/>
          </w:tblCellMar>
        </w:tblPrEx>
        <w:tc>
          <w:tcPr>
            <w:tcW w:w="3240" w:type="dxa"/>
            <w:tcBorders>
              <w:top w:val="single" w:sz="6" w:space="0" w:color="1F3864"/>
              <w:left w:val="single" w:sz="6" w:space="0" w:color="1F3864"/>
              <w:bottom w:val="single" w:sz="6" w:space="0" w:color="1F3864"/>
              <w:right w:val="single" w:sz="6" w:space="0" w:color="1F3864"/>
            </w:tcBorders>
            <w:shd w:val="clear" w:color="auto" w:fill="2E75B6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355883B7" w14:textId="77777777" w:rsidR="001D26A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Paramètre statistique</w:t>
            </w:r>
          </w:p>
        </w:tc>
        <w:tc>
          <w:tcPr>
            <w:tcW w:w="3254" w:type="dxa"/>
            <w:tcBorders>
              <w:top w:val="single" w:sz="6" w:space="0" w:color="1F3864"/>
              <w:left w:val="single" w:sz="6" w:space="0" w:color="1F3864"/>
              <w:bottom w:val="single" w:sz="6" w:space="0" w:color="1F3864"/>
              <w:right w:val="single" w:sz="6" w:space="0" w:color="1F3864"/>
            </w:tcBorders>
            <w:shd w:val="clear" w:color="auto" w:fill="2E75B6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1FC1E5DD" w14:textId="77777777" w:rsidR="001D26A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Valeur</w:t>
            </w:r>
          </w:p>
        </w:tc>
        <w:tc>
          <w:tcPr>
            <w:tcW w:w="3252" w:type="dxa"/>
            <w:tcBorders>
              <w:top w:val="single" w:sz="6" w:space="0" w:color="1F3864"/>
              <w:left w:val="single" w:sz="6" w:space="0" w:color="1F3864"/>
              <w:bottom w:val="single" w:sz="6" w:space="0" w:color="1F3864"/>
              <w:right w:val="single" w:sz="6" w:space="0" w:color="1F3864"/>
            </w:tcBorders>
            <w:shd w:val="clear" w:color="auto" w:fill="2E75B6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6C9C15B7" w14:textId="77777777" w:rsidR="001D26A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Commentaire</w:t>
            </w:r>
          </w:p>
        </w:tc>
      </w:tr>
      <w:tr w:rsidR="001D26AF" w14:paraId="6FB82710" w14:textId="77777777">
        <w:tblPrEx>
          <w:tblCellMar>
            <w:top w:w="0" w:type="dxa"/>
            <w:bottom w:w="0" w:type="dxa"/>
          </w:tblCellMar>
        </w:tblPrEx>
        <w:tc>
          <w:tcPr>
            <w:tcW w:w="32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BF3FB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24705565" w14:textId="77777777" w:rsidR="001D26AF" w:rsidRDefault="00000000">
            <w:pPr>
              <w:spacing w:before="60" w:after="60"/>
            </w:pPr>
            <w:r>
              <w:t>Distribution</w:t>
            </w:r>
          </w:p>
        </w:tc>
        <w:tc>
          <w:tcPr>
            <w:tcW w:w="32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0488C495" w14:textId="77777777" w:rsidR="001D26AF" w:rsidRDefault="00000000">
            <w:pPr>
              <w:spacing w:before="60" w:after="60"/>
            </w:pPr>
            <w:r>
              <w:t>Normale confirmée</w:t>
            </w:r>
          </w:p>
        </w:tc>
        <w:tc>
          <w:tcPr>
            <w:tcW w:w="32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2F2F2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0DEA4726" w14:textId="77777777" w:rsidR="001D26AF" w:rsidRDefault="00000000">
            <w:pPr>
              <w:spacing w:before="60" w:after="60"/>
            </w:pPr>
            <w:r>
              <w:t>Anderson-Darling p = 0,234</w:t>
            </w:r>
          </w:p>
        </w:tc>
      </w:tr>
      <w:tr w:rsidR="001D26AF" w14:paraId="1D1FA123" w14:textId="77777777">
        <w:tblPrEx>
          <w:tblCellMar>
            <w:top w:w="0" w:type="dxa"/>
            <w:bottom w:w="0" w:type="dxa"/>
          </w:tblCellMar>
        </w:tblPrEx>
        <w:tc>
          <w:tcPr>
            <w:tcW w:w="32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BF3FB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06BF7BBD" w14:textId="77777777" w:rsidR="001D26AF" w:rsidRDefault="00000000">
            <w:pPr>
              <w:spacing w:before="60" w:after="60"/>
            </w:pPr>
            <w:r>
              <w:t>Moyenne (μ)</w:t>
            </w:r>
          </w:p>
        </w:tc>
        <w:tc>
          <w:tcPr>
            <w:tcW w:w="32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7AFABCED" w14:textId="77777777" w:rsidR="001D26AF" w:rsidRDefault="00000000">
            <w:r>
              <w:rPr>
                <w:b/>
                <w:bCs/>
                <w:color w:val="1F3864"/>
              </w:rPr>
              <w:t>0,34 %</w:t>
            </w:r>
          </w:p>
        </w:tc>
        <w:tc>
          <w:tcPr>
            <w:tcW w:w="32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2F2F2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002EC3F1" w14:textId="77777777" w:rsidR="001D26AF" w:rsidRDefault="00000000">
            <w:pPr>
              <w:spacing w:before="60" w:after="60"/>
            </w:pPr>
            <w:r>
              <w:t>Centrage nominal de la méthode</w:t>
            </w:r>
          </w:p>
        </w:tc>
      </w:tr>
      <w:tr w:rsidR="001D26AF" w14:paraId="23295279" w14:textId="77777777">
        <w:tblPrEx>
          <w:tblCellMar>
            <w:top w:w="0" w:type="dxa"/>
            <w:bottom w:w="0" w:type="dxa"/>
          </w:tblCellMar>
        </w:tblPrEx>
        <w:tc>
          <w:tcPr>
            <w:tcW w:w="32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BF3FB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6175721D" w14:textId="77777777" w:rsidR="001D26AF" w:rsidRDefault="00000000">
            <w:pPr>
              <w:spacing w:before="60" w:after="60"/>
            </w:pPr>
            <w:r>
              <w:t>Écart-type (σ)</w:t>
            </w:r>
          </w:p>
        </w:tc>
        <w:tc>
          <w:tcPr>
            <w:tcW w:w="32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71A7A5D0" w14:textId="77777777" w:rsidR="001D26AF" w:rsidRDefault="00000000">
            <w:r>
              <w:rPr>
                <w:b/>
                <w:bCs/>
                <w:color w:val="1F3864"/>
              </w:rPr>
              <w:t>0,09 %</w:t>
            </w:r>
          </w:p>
        </w:tc>
        <w:tc>
          <w:tcPr>
            <w:tcW w:w="32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2F2F2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47911040" w14:textId="77777777" w:rsidR="001D26AF" w:rsidRDefault="00000000">
            <w:pPr>
              <w:spacing w:before="60" w:after="60"/>
            </w:pPr>
            <w:r>
              <w:t xml:space="preserve">Variabilité </w:t>
            </w:r>
            <w:proofErr w:type="spellStart"/>
            <w:r>
              <w:t>within-method</w:t>
            </w:r>
            <w:proofErr w:type="spellEnd"/>
          </w:p>
        </w:tc>
      </w:tr>
      <w:tr w:rsidR="001D26AF" w14:paraId="4655F816" w14:textId="77777777">
        <w:tblPrEx>
          <w:tblCellMar>
            <w:top w:w="0" w:type="dxa"/>
            <w:bottom w:w="0" w:type="dxa"/>
          </w:tblCellMar>
        </w:tblPrEx>
        <w:tc>
          <w:tcPr>
            <w:tcW w:w="32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BF3FB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034DC307" w14:textId="77777777" w:rsidR="001D26AF" w:rsidRDefault="00000000">
            <w:pPr>
              <w:spacing w:before="60" w:after="60"/>
            </w:pPr>
            <w:r>
              <w:t>Intervalle de tolérance</w:t>
            </w:r>
          </w:p>
        </w:tc>
        <w:tc>
          <w:tcPr>
            <w:tcW w:w="32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CE4D6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593F9991" w14:textId="77777777" w:rsidR="001D26AF" w:rsidRDefault="00000000">
            <w:r>
              <w:rPr>
                <w:b/>
                <w:bCs/>
                <w:color w:val="C55A11"/>
              </w:rPr>
              <w:t>[0,08 % ; 0,60 %]</w:t>
            </w:r>
          </w:p>
        </w:tc>
        <w:tc>
          <w:tcPr>
            <w:tcW w:w="32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2F2F2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77F32817" w14:textId="77777777" w:rsidR="001D26AF" w:rsidRDefault="00000000">
            <w:pPr>
              <w:spacing w:before="60" w:after="60"/>
            </w:pPr>
            <w:r>
              <w:t>99 % population | 95 % confiance</w:t>
            </w:r>
          </w:p>
        </w:tc>
      </w:tr>
    </w:tbl>
    <w:p w14:paraId="6B1B3609" w14:textId="77777777" w:rsidR="001D26AF" w:rsidRDefault="00000000">
      <w:pPr>
        <w:pBdr>
          <w:bottom w:val="single" w:sz="8" w:space="4" w:color="2E75B6"/>
        </w:pBdr>
        <w:spacing w:before="280" w:after="100"/>
      </w:pPr>
      <w:r>
        <w:rPr>
          <w:b/>
          <w:bCs/>
          <w:color w:val="2E75B6"/>
          <w:sz w:val="26"/>
          <w:szCs w:val="26"/>
        </w:rPr>
        <w:t xml:space="preserve">4.  </w:t>
      </w:r>
      <w:r>
        <w:rPr>
          <w:b/>
          <w:bCs/>
          <w:color w:val="1F3864"/>
          <w:sz w:val="26"/>
          <w:szCs w:val="26"/>
        </w:rPr>
        <w:t>DÉCISION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6"/>
      </w:tblGrid>
      <w:tr w:rsidR="001D26AF" w14:paraId="5198036A" w14:textId="77777777">
        <w:tblPrEx>
          <w:tblCellMar>
            <w:top w:w="0" w:type="dxa"/>
            <w:bottom w:w="0" w:type="dxa"/>
          </w:tblCellMar>
        </w:tblPrEx>
        <w:tc>
          <w:tcPr>
            <w:tcW w:w="9746" w:type="dxa"/>
            <w:tcBorders>
              <w:top w:val="single" w:sz="6" w:space="0" w:color="C55A11"/>
              <w:left w:val="single" w:sz="6" w:space="0" w:color="C55A11"/>
              <w:bottom w:val="single" w:sz="6" w:space="0" w:color="C55A11"/>
              <w:right w:val="single" w:sz="6" w:space="0" w:color="C55A11"/>
            </w:tcBorders>
            <w:shd w:val="clear" w:color="auto" w:fill="FCE4D6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0DF4F381" w14:textId="77777777" w:rsidR="001D26AF" w:rsidRDefault="00000000">
            <w:pPr>
              <w:spacing w:before="60" w:after="40"/>
            </w:pPr>
            <w:r>
              <w:rPr>
                <w:b/>
                <w:bCs/>
                <w:color w:val="1F3864"/>
                <w:sz w:val="22"/>
                <w:szCs w:val="22"/>
              </w:rPr>
              <w:t xml:space="preserve">Limite d'alerte OOT recommandée : </w:t>
            </w:r>
            <w:r>
              <w:rPr>
                <w:b/>
                <w:bCs/>
                <w:color w:val="C55A11"/>
                <w:sz w:val="26"/>
                <w:szCs w:val="26"/>
              </w:rPr>
              <w:t xml:space="preserve">0,60 </w:t>
            </w:r>
            <w:proofErr w:type="gramStart"/>
            <w:r>
              <w:rPr>
                <w:b/>
                <w:bCs/>
                <w:color w:val="C55A11"/>
                <w:sz w:val="26"/>
                <w:szCs w:val="26"/>
              </w:rPr>
              <w:t>%</w:t>
            </w:r>
            <w:r>
              <w:rPr>
                <w:color w:val="888888"/>
                <w:sz w:val="20"/>
                <w:szCs w:val="20"/>
              </w:rPr>
              <w:t xml:space="preserve">  (</w:t>
            </w:r>
            <w:proofErr w:type="gramEnd"/>
            <w:r>
              <w:rPr>
                <w:color w:val="888888"/>
                <w:sz w:val="20"/>
                <w:szCs w:val="20"/>
              </w:rPr>
              <w:t>vs spécification USP générique : 2,0 %)</w:t>
            </w:r>
          </w:p>
          <w:p w14:paraId="092E55A3" w14:textId="77777777" w:rsidR="001D26AF" w:rsidRDefault="00000000">
            <w:pPr>
              <w:spacing w:before="20" w:after="60"/>
            </w:pPr>
            <w:r>
              <w:rPr>
                <w:b/>
                <w:bCs/>
                <w:color w:val="1F3864"/>
              </w:rPr>
              <w:t xml:space="preserve">Justification : </w:t>
            </w:r>
            <w:r>
              <w:t>Cette limite couvre 99 % de la performance historique avec 95 % de confiance, permettant une détection plus sensible des dérives tout en évitant les faux positifs.</w:t>
            </w:r>
          </w:p>
        </w:tc>
      </w:tr>
    </w:tbl>
    <w:p w14:paraId="4FC7D1FF" w14:textId="77777777" w:rsidR="001D26AF" w:rsidRDefault="00000000">
      <w:pPr>
        <w:pBdr>
          <w:bottom w:val="single" w:sz="8" w:space="4" w:color="2E75B6"/>
        </w:pBdr>
        <w:spacing w:before="280" w:after="100"/>
      </w:pPr>
      <w:r>
        <w:rPr>
          <w:b/>
          <w:bCs/>
          <w:color w:val="2E75B6"/>
          <w:sz w:val="26"/>
          <w:szCs w:val="26"/>
        </w:rPr>
        <w:lastRenderedPageBreak/>
        <w:t xml:space="preserve">5.  </w:t>
      </w:r>
      <w:r>
        <w:rPr>
          <w:b/>
          <w:bCs/>
          <w:color w:val="1F3864"/>
          <w:sz w:val="26"/>
          <w:szCs w:val="26"/>
        </w:rPr>
        <w:t>IMPACT RÉGLEMENTAIRE ET OPÉRATIONNEL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73"/>
        <w:gridCol w:w="4873"/>
      </w:tblGrid>
      <w:tr w:rsidR="001D26AF" w14:paraId="252F40B1" w14:textId="77777777">
        <w:tblPrEx>
          <w:tblCellMar>
            <w:top w:w="0" w:type="dxa"/>
            <w:bottom w:w="0" w:type="dxa"/>
          </w:tblCellMar>
        </w:tblPrEx>
        <w:tc>
          <w:tcPr>
            <w:tcW w:w="4873" w:type="dxa"/>
            <w:tcBorders>
              <w:top w:val="single" w:sz="6" w:space="0" w:color="1F3864"/>
              <w:left w:val="single" w:sz="6" w:space="0" w:color="1F3864"/>
              <w:bottom w:val="single" w:sz="6" w:space="0" w:color="1F3864"/>
              <w:right w:val="single" w:sz="6" w:space="0" w:color="1F3864"/>
            </w:tcBorders>
            <w:shd w:val="clear" w:color="auto" w:fill="2E75B6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3FD01155" w14:textId="77777777" w:rsidR="001D26A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Domaine d'impact</w:t>
            </w:r>
          </w:p>
        </w:tc>
        <w:tc>
          <w:tcPr>
            <w:tcW w:w="4873" w:type="dxa"/>
            <w:tcBorders>
              <w:top w:val="single" w:sz="6" w:space="0" w:color="1F3864"/>
              <w:left w:val="single" w:sz="6" w:space="0" w:color="1F3864"/>
              <w:bottom w:val="single" w:sz="6" w:space="0" w:color="1F3864"/>
              <w:right w:val="single" w:sz="6" w:space="0" w:color="1F3864"/>
            </w:tcBorders>
            <w:shd w:val="clear" w:color="auto" w:fill="2E75B6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2C35C0B9" w14:textId="77777777" w:rsidR="001D26A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Action requise</w:t>
            </w:r>
          </w:p>
        </w:tc>
      </w:tr>
      <w:tr w:rsidR="001D26AF" w14:paraId="63D67928" w14:textId="77777777">
        <w:tblPrEx>
          <w:tblCellMar>
            <w:top w:w="0" w:type="dxa"/>
            <w:bottom w:w="0" w:type="dxa"/>
          </w:tblCellMar>
        </w:tblPrEx>
        <w:tc>
          <w:tcPr>
            <w:tcW w:w="48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2EFDA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20D184B8" w14:textId="77777777" w:rsidR="001D26AF" w:rsidRDefault="00000000">
            <w:pPr>
              <w:spacing w:before="60" w:after="60"/>
            </w:pPr>
            <w:r>
              <w:t>Spécifications produit</w:t>
            </w:r>
          </w:p>
        </w:tc>
        <w:tc>
          <w:tcPr>
            <w:tcW w:w="48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20DD4616" w14:textId="77777777" w:rsidR="001D26AF" w:rsidRDefault="00000000">
            <w:r>
              <w:rPr>
                <w:b/>
                <w:bCs/>
                <w:color w:val="375623"/>
              </w:rPr>
              <w:t>Aucune modification</w:t>
            </w:r>
          </w:p>
        </w:tc>
      </w:tr>
      <w:tr w:rsidR="001D26AF" w14:paraId="2B4BFE94" w14:textId="77777777">
        <w:tblPrEx>
          <w:tblCellMar>
            <w:top w:w="0" w:type="dxa"/>
            <w:bottom w:w="0" w:type="dxa"/>
          </w:tblCellMar>
        </w:tblPrEx>
        <w:tc>
          <w:tcPr>
            <w:tcW w:w="48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2EFDA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35F2D217" w14:textId="77777777" w:rsidR="001D26AF" w:rsidRDefault="00000000">
            <w:pPr>
              <w:spacing w:before="60" w:after="60"/>
            </w:pPr>
            <w:r>
              <w:t>Méthode validée</w:t>
            </w:r>
          </w:p>
        </w:tc>
        <w:tc>
          <w:tcPr>
            <w:tcW w:w="48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3F729F09" w14:textId="77777777" w:rsidR="001D26AF" w:rsidRDefault="00000000">
            <w:r>
              <w:rPr>
                <w:b/>
                <w:bCs/>
                <w:color w:val="375623"/>
              </w:rPr>
              <w:t>Aucune modification</w:t>
            </w:r>
          </w:p>
        </w:tc>
      </w:tr>
      <w:tr w:rsidR="001D26AF" w14:paraId="24B25110" w14:textId="77777777">
        <w:tblPrEx>
          <w:tblCellMar>
            <w:top w:w="0" w:type="dxa"/>
            <w:bottom w:w="0" w:type="dxa"/>
          </w:tblCellMar>
        </w:tblPrEx>
        <w:tc>
          <w:tcPr>
            <w:tcW w:w="48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CE4D6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1D72333B" w14:textId="77777777" w:rsidR="001D26AF" w:rsidRDefault="00000000">
            <w:pPr>
              <w:spacing w:before="60" w:after="60"/>
            </w:pPr>
            <w:r>
              <w:t>SOP METH-HPLC-CARD-001, §8.2</w:t>
            </w:r>
          </w:p>
        </w:tc>
        <w:tc>
          <w:tcPr>
            <w:tcW w:w="48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41243281" w14:textId="77777777" w:rsidR="001D26AF" w:rsidRDefault="00000000">
            <w:pPr>
              <w:spacing w:before="60" w:after="60"/>
            </w:pPr>
            <w:r>
              <w:t>Mise à jour des limites de contrôle SST</w:t>
            </w:r>
          </w:p>
        </w:tc>
      </w:tr>
      <w:tr w:rsidR="001D26AF" w14:paraId="1EE9A270" w14:textId="77777777">
        <w:tblPrEx>
          <w:tblCellMar>
            <w:top w:w="0" w:type="dxa"/>
            <w:bottom w:w="0" w:type="dxa"/>
          </w:tblCellMar>
        </w:tblPrEx>
        <w:tc>
          <w:tcPr>
            <w:tcW w:w="48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CE4D6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67DC9040" w14:textId="77777777" w:rsidR="001D26AF" w:rsidRDefault="00000000">
            <w:pPr>
              <w:spacing w:before="60" w:after="60"/>
            </w:pPr>
            <w:r>
              <w:t>Formation des analystes</w:t>
            </w:r>
          </w:p>
        </w:tc>
        <w:tc>
          <w:tcPr>
            <w:tcW w:w="48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1396E55B" w14:textId="77777777" w:rsidR="001D26AF" w:rsidRDefault="00000000">
            <w:pPr>
              <w:spacing w:before="60" w:after="60"/>
            </w:pPr>
            <w:r>
              <w:t>Interprétation des nouvelles limites</w:t>
            </w:r>
          </w:p>
        </w:tc>
      </w:tr>
    </w:tbl>
    <w:p w14:paraId="04095604" w14:textId="77777777" w:rsidR="001D26AF" w:rsidRDefault="00000000">
      <w:pPr>
        <w:pBdr>
          <w:bottom w:val="single" w:sz="8" w:space="4" w:color="2E75B6"/>
        </w:pBdr>
        <w:spacing w:before="280" w:after="100"/>
      </w:pPr>
      <w:r>
        <w:rPr>
          <w:b/>
          <w:bCs/>
          <w:color w:val="2E75B6"/>
          <w:sz w:val="26"/>
          <w:szCs w:val="26"/>
        </w:rPr>
        <w:t xml:space="preserve">6.  </w:t>
      </w:r>
      <w:r>
        <w:rPr>
          <w:b/>
          <w:bCs/>
          <w:color w:val="1F3864"/>
          <w:sz w:val="26"/>
          <w:szCs w:val="26"/>
        </w:rPr>
        <w:t>SURVEILLANCE POST-MISE À JOUR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6"/>
      </w:tblGrid>
      <w:tr w:rsidR="001D26AF" w14:paraId="6FB3623D" w14:textId="77777777">
        <w:tblPrEx>
          <w:tblCellMar>
            <w:top w:w="0" w:type="dxa"/>
            <w:bottom w:w="0" w:type="dxa"/>
          </w:tblCellMar>
        </w:tblPrEx>
        <w:tc>
          <w:tcPr>
            <w:tcW w:w="9746" w:type="dxa"/>
            <w:tcBorders>
              <w:top w:val="single" w:sz="6" w:space="0" w:color="2E75B6"/>
              <w:left w:val="single" w:sz="6" w:space="0" w:color="2E75B6"/>
              <w:bottom w:val="single" w:sz="6" w:space="0" w:color="2E75B6"/>
              <w:right w:val="single" w:sz="6" w:space="0" w:color="2E75B6"/>
            </w:tcBorders>
            <w:shd w:val="clear" w:color="auto" w:fill="EBF3FB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75359B2F" w14:textId="77777777" w:rsidR="001D26AF" w:rsidRDefault="00000000">
            <w:pPr>
              <w:spacing w:before="60" w:after="60"/>
            </w:pPr>
            <w:r>
              <w:rPr>
                <w:b/>
                <w:bCs/>
              </w:rPr>
              <w:t>Revue trimestrielle des performances vs nouvelles limites</w:t>
            </w:r>
          </w:p>
          <w:p w14:paraId="248F6212" w14:textId="77777777" w:rsidR="001D26AF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 xml:space="preserve">Calcul du </w:t>
            </w:r>
            <w:proofErr w:type="spellStart"/>
            <w:r>
              <w:t>Cpk</w:t>
            </w:r>
            <w:proofErr w:type="spellEnd"/>
            <w:r>
              <w:t xml:space="preserve"> sur les données accumulées par trimestre</w:t>
            </w:r>
          </w:p>
          <w:p w14:paraId="2BB21A17" w14:textId="77777777" w:rsidR="001D26AF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Comparaison de la dérive des moyennes mobiles</w:t>
            </w:r>
          </w:p>
          <w:p w14:paraId="6A9FBE1E" w14:textId="77777777" w:rsidR="001D26AF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 xml:space="preserve">Déclenchement d'une investigation si </w:t>
            </w:r>
            <w:proofErr w:type="spellStart"/>
            <w:r>
              <w:t>Cpk_récepteur</w:t>
            </w:r>
            <w:proofErr w:type="spellEnd"/>
            <w:r>
              <w:t xml:space="preserve"> &lt; 0,8 × </w:t>
            </w:r>
            <w:proofErr w:type="spellStart"/>
            <w:r>
              <w:t>Cpk_émetteur</w:t>
            </w:r>
            <w:proofErr w:type="spellEnd"/>
          </w:p>
          <w:p w14:paraId="0D4D75F8" w14:textId="77777777" w:rsidR="001D26AF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Mise à jour annuelle du bilan de performance SST</w:t>
            </w:r>
          </w:p>
        </w:tc>
      </w:tr>
    </w:tbl>
    <w:p w14:paraId="4FCCB260" w14:textId="77777777" w:rsidR="001D26AF" w:rsidRDefault="001D26AF">
      <w:pPr>
        <w:spacing w:before="280" w:after="80"/>
      </w:pPr>
    </w:p>
    <w:p w14:paraId="7AE3DC39" w14:textId="77777777" w:rsidR="001D26AF" w:rsidRDefault="00000000">
      <w:pPr>
        <w:pBdr>
          <w:bottom w:val="single" w:sz="8" w:space="4" w:color="2E75B6"/>
        </w:pBdr>
        <w:spacing w:before="280" w:after="100"/>
      </w:pPr>
      <w:r>
        <w:rPr>
          <w:b/>
          <w:bCs/>
          <w:color w:val="2E75B6"/>
          <w:sz w:val="26"/>
          <w:szCs w:val="26"/>
        </w:rPr>
        <w:t xml:space="preserve">7.  </w:t>
      </w:r>
      <w:r>
        <w:rPr>
          <w:b/>
          <w:bCs/>
          <w:color w:val="1F3864"/>
          <w:sz w:val="26"/>
          <w:szCs w:val="26"/>
        </w:rPr>
        <w:t>APPROBATIONS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48"/>
        <w:gridCol w:w="3249"/>
        <w:gridCol w:w="3249"/>
      </w:tblGrid>
      <w:tr w:rsidR="001D26AF" w14:paraId="3D2E575F" w14:textId="77777777">
        <w:tblPrEx>
          <w:tblCellMar>
            <w:top w:w="0" w:type="dxa"/>
            <w:bottom w:w="0" w:type="dxa"/>
          </w:tblCellMar>
        </w:tblPrEx>
        <w:tc>
          <w:tcPr>
            <w:tcW w:w="3248" w:type="dxa"/>
            <w:tcBorders>
              <w:top w:val="single" w:sz="6" w:space="0" w:color="1F3864"/>
              <w:left w:val="single" w:sz="6" w:space="0" w:color="1F3864"/>
              <w:bottom w:val="single" w:sz="6" w:space="0" w:color="1F3864"/>
              <w:right w:val="single" w:sz="6" w:space="0" w:color="1F3864"/>
            </w:tcBorders>
            <w:shd w:val="clear" w:color="auto" w:fill="2E75B6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12845E43" w14:textId="77777777" w:rsidR="001D26A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Rédigé par</w:t>
            </w:r>
          </w:p>
        </w:tc>
        <w:tc>
          <w:tcPr>
            <w:tcW w:w="3249" w:type="dxa"/>
            <w:tcBorders>
              <w:top w:val="single" w:sz="6" w:space="0" w:color="1F3864"/>
              <w:left w:val="single" w:sz="6" w:space="0" w:color="1F3864"/>
              <w:bottom w:val="single" w:sz="6" w:space="0" w:color="1F3864"/>
              <w:right w:val="single" w:sz="6" w:space="0" w:color="1F3864"/>
            </w:tcBorders>
            <w:shd w:val="clear" w:color="auto" w:fill="2E75B6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7B20E503" w14:textId="77777777" w:rsidR="001D26A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Vérifié par</w:t>
            </w:r>
          </w:p>
        </w:tc>
        <w:tc>
          <w:tcPr>
            <w:tcW w:w="3249" w:type="dxa"/>
            <w:tcBorders>
              <w:top w:val="single" w:sz="6" w:space="0" w:color="1F3864"/>
              <w:left w:val="single" w:sz="6" w:space="0" w:color="1F3864"/>
              <w:bottom w:val="single" w:sz="6" w:space="0" w:color="1F3864"/>
              <w:right w:val="single" w:sz="6" w:space="0" w:color="1F3864"/>
            </w:tcBorders>
            <w:shd w:val="clear" w:color="auto" w:fill="2E75B6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37FE9887" w14:textId="77777777" w:rsidR="001D26A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Approuvé par</w:t>
            </w:r>
          </w:p>
        </w:tc>
      </w:tr>
      <w:tr w:rsidR="001D26AF" w14:paraId="778AF63C" w14:textId="77777777">
        <w:tblPrEx>
          <w:tblCellMar>
            <w:top w:w="0" w:type="dxa"/>
            <w:bottom w:w="0" w:type="dxa"/>
          </w:tblCellMar>
        </w:tblPrEx>
        <w:tc>
          <w:tcPr>
            <w:tcW w:w="32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5DAB9AB" w14:textId="77777777" w:rsidR="001D26AF" w:rsidRDefault="00000000">
            <w:pPr>
              <w:spacing w:before="60" w:after="60"/>
            </w:pPr>
            <w:r>
              <w:t>Responsable méthode</w:t>
            </w:r>
          </w:p>
          <w:p w14:paraId="2311AD04" w14:textId="77777777" w:rsidR="001D26AF" w:rsidRDefault="00000000">
            <w:pPr>
              <w:spacing w:before="300" w:after="60"/>
            </w:pPr>
            <w:r>
              <w:t xml:space="preserve"> </w:t>
            </w:r>
          </w:p>
          <w:p w14:paraId="78272866" w14:textId="77777777" w:rsidR="001D26AF" w:rsidRDefault="001D26AF">
            <w:pPr>
              <w:pBdr>
                <w:bottom w:val="single" w:sz="6" w:space="0" w:color="2E75B6"/>
              </w:pBdr>
              <w:spacing w:before="280" w:after="40"/>
            </w:pPr>
          </w:p>
          <w:p w14:paraId="1145C8DE" w14:textId="77777777" w:rsidR="001D26AF" w:rsidRDefault="00000000">
            <w:pPr>
              <w:spacing w:before="60" w:after="60"/>
            </w:pPr>
            <w:r>
              <w:rPr>
                <w:color w:val="888888"/>
                <w:sz w:val="18"/>
                <w:szCs w:val="18"/>
              </w:rPr>
              <w:t>Signature / Date</w:t>
            </w:r>
          </w:p>
        </w:tc>
        <w:tc>
          <w:tcPr>
            <w:tcW w:w="32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2F2F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D37B135" w14:textId="77777777" w:rsidR="001D26AF" w:rsidRDefault="00000000">
            <w:pPr>
              <w:spacing w:before="60" w:after="60"/>
            </w:pPr>
            <w:r>
              <w:t>Responsable qualité</w:t>
            </w:r>
          </w:p>
          <w:p w14:paraId="1C961FD0" w14:textId="77777777" w:rsidR="001D26AF" w:rsidRDefault="00000000">
            <w:pPr>
              <w:spacing w:before="300" w:after="60"/>
            </w:pPr>
            <w:r>
              <w:t xml:space="preserve"> </w:t>
            </w:r>
          </w:p>
          <w:p w14:paraId="464F3512" w14:textId="77777777" w:rsidR="001D26AF" w:rsidRDefault="001D26AF">
            <w:pPr>
              <w:pBdr>
                <w:bottom w:val="single" w:sz="6" w:space="0" w:color="2E75B6"/>
              </w:pBdr>
              <w:spacing w:before="280" w:after="40"/>
            </w:pPr>
          </w:p>
          <w:p w14:paraId="67B3CA74" w14:textId="77777777" w:rsidR="001D26AF" w:rsidRDefault="00000000">
            <w:pPr>
              <w:spacing w:before="60" w:after="60"/>
            </w:pPr>
            <w:r>
              <w:rPr>
                <w:color w:val="888888"/>
                <w:sz w:val="18"/>
                <w:szCs w:val="18"/>
              </w:rPr>
              <w:t>Signature / Date</w:t>
            </w:r>
          </w:p>
        </w:tc>
        <w:tc>
          <w:tcPr>
            <w:tcW w:w="32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76AB8F3" w14:textId="77777777" w:rsidR="001D26AF" w:rsidRDefault="00000000">
            <w:pPr>
              <w:spacing w:before="60" w:after="60"/>
            </w:pPr>
            <w:r>
              <w:t>Directeur R&amp;D / QA</w:t>
            </w:r>
          </w:p>
          <w:p w14:paraId="5446494C" w14:textId="77777777" w:rsidR="001D26AF" w:rsidRDefault="00000000">
            <w:pPr>
              <w:spacing w:before="300" w:after="60"/>
            </w:pPr>
            <w:r>
              <w:t xml:space="preserve"> </w:t>
            </w:r>
          </w:p>
          <w:p w14:paraId="2776CEBD" w14:textId="77777777" w:rsidR="001D26AF" w:rsidRDefault="001D26AF">
            <w:pPr>
              <w:pBdr>
                <w:bottom w:val="single" w:sz="6" w:space="0" w:color="2E75B6"/>
              </w:pBdr>
              <w:spacing w:before="280" w:after="40"/>
            </w:pPr>
          </w:p>
          <w:p w14:paraId="13E5F23E" w14:textId="77777777" w:rsidR="001D26AF" w:rsidRDefault="00000000">
            <w:pPr>
              <w:spacing w:before="60" w:after="60"/>
            </w:pPr>
            <w:r>
              <w:rPr>
                <w:color w:val="888888"/>
                <w:sz w:val="18"/>
                <w:szCs w:val="18"/>
              </w:rPr>
              <w:t>Signature / Date</w:t>
            </w:r>
          </w:p>
        </w:tc>
      </w:tr>
    </w:tbl>
    <w:p w14:paraId="2915411A" w14:textId="77777777" w:rsidR="00247537" w:rsidRDefault="00247537"/>
    <w:sectPr w:rsidR="00247537">
      <w:headerReference w:type="default" r:id="rId7"/>
      <w:footerReference w:type="default" r:id="rId8"/>
      <w:pgSz w:w="11906" w:h="16838"/>
      <w:pgMar w:top="1080" w:right="1080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E3188" w14:textId="77777777" w:rsidR="00247537" w:rsidRDefault="00247537">
      <w:r>
        <w:separator/>
      </w:r>
    </w:p>
  </w:endnote>
  <w:endnote w:type="continuationSeparator" w:id="0">
    <w:p w14:paraId="3D003F40" w14:textId="77777777" w:rsidR="00247537" w:rsidRDefault="00247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C2888" w14:textId="77777777" w:rsidR="001D26AF" w:rsidRDefault="00000000">
    <w:pPr>
      <w:pBdr>
        <w:top w:val="single" w:sz="6" w:space="4" w:color="2E75B6"/>
      </w:pBdr>
      <w:spacing w:before="80"/>
      <w:jc w:val="center"/>
    </w:pPr>
    <w:r>
      <w:rPr>
        <w:color w:val="888888"/>
        <w:sz w:val="18"/>
        <w:szCs w:val="18"/>
      </w:rPr>
      <w:t xml:space="preserve">Document interne — Département Qualité / R&amp;D    |    Page </w:t>
    </w:r>
    <w:r>
      <w:fldChar w:fldCharType="begin"/>
    </w:r>
    <w:r>
      <w:instrText>PAGE</w:instrText>
    </w:r>
    <w:r>
      <w:fldChar w:fldCharType="separate"/>
    </w:r>
    <w:r w:rsidR="00684AD6">
      <w:rPr>
        <w:noProof/>
      </w:rPr>
      <w:t>1</w:t>
    </w:r>
    <w:r>
      <w:fldChar w:fldCharType="end"/>
    </w:r>
    <w:r>
      <w:rPr>
        <w:color w:val="888888"/>
        <w:sz w:val="18"/>
        <w:szCs w:val="18"/>
      </w:rPr>
      <w:t xml:space="preserve">    |    Version 1.0 — 30/09/2026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D5AFF" w14:textId="77777777" w:rsidR="00247537" w:rsidRDefault="00247537">
      <w:r>
        <w:separator/>
      </w:r>
    </w:p>
  </w:footnote>
  <w:footnote w:type="continuationSeparator" w:id="0">
    <w:p w14:paraId="1FF0D52D" w14:textId="77777777" w:rsidR="00247537" w:rsidRDefault="00247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0D01" w14:textId="77777777" w:rsidR="001D26AF" w:rsidRDefault="00000000">
    <w:pPr>
      <w:pBdr>
        <w:bottom w:val="single" w:sz="10" w:space="4" w:color="2E75B6"/>
      </w:pBdr>
      <w:spacing w:after="120"/>
    </w:pPr>
    <w:r>
      <w:rPr>
        <w:b/>
        <w:bCs/>
        <w:color w:val="1F3864"/>
        <w:sz w:val="22"/>
        <w:szCs w:val="22"/>
      </w:rPr>
      <w:t>JUSTIFICATION DE MISE À JOUR DES LIMITES DE CONTRÔLE SST</w:t>
    </w:r>
    <w:r>
      <w:rPr>
        <w:color w:val="888888"/>
        <w:sz w:val="20"/>
        <w:szCs w:val="20"/>
      </w:rPr>
      <w:t xml:space="preserve">    |    METH-HPLC-CARD-001</w:t>
    </w:r>
    <w:r>
      <w:rPr>
        <w:b/>
        <w:bCs/>
        <w:color w:val="C55A11"/>
        <w:sz w:val="18"/>
        <w:szCs w:val="18"/>
      </w:rPr>
      <w:t xml:space="preserve">    |    CONFIDENTIEL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C2F0F"/>
    <w:multiLevelType w:val="hybridMultilevel"/>
    <w:tmpl w:val="20165FB4"/>
    <w:lvl w:ilvl="0" w:tplc="FF3ADBAE">
      <w:start w:val="1"/>
      <w:numFmt w:val="bullet"/>
      <w:lvlText w:val="•"/>
      <w:lvlJc w:val="left"/>
      <w:pPr>
        <w:ind w:left="560" w:hanging="280"/>
      </w:pPr>
      <w:rPr>
        <w:rFonts w:ascii="Arial" w:eastAsia="Arial" w:hAnsi="Arial" w:cs="Arial"/>
        <w:sz w:val="21"/>
        <w:szCs w:val="21"/>
      </w:rPr>
    </w:lvl>
    <w:lvl w:ilvl="1" w:tplc="4F781E24">
      <w:start w:val="1"/>
      <w:numFmt w:val="bullet"/>
      <w:lvlText w:val="◦"/>
      <w:lvlJc w:val="left"/>
      <w:pPr>
        <w:ind w:left="1120" w:hanging="280"/>
      </w:pPr>
      <w:rPr>
        <w:rFonts w:ascii="Arial" w:eastAsia="Arial" w:hAnsi="Arial" w:cs="Arial"/>
        <w:sz w:val="21"/>
        <w:szCs w:val="21"/>
      </w:rPr>
    </w:lvl>
    <w:lvl w:ilvl="2" w:tplc="A2F4F5DA">
      <w:numFmt w:val="decimal"/>
      <w:lvlText w:val=""/>
      <w:lvlJc w:val="left"/>
    </w:lvl>
    <w:lvl w:ilvl="3" w:tplc="4984AD16">
      <w:numFmt w:val="decimal"/>
      <w:lvlText w:val=""/>
      <w:lvlJc w:val="left"/>
    </w:lvl>
    <w:lvl w:ilvl="4" w:tplc="90322F7E">
      <w:numFmt w:val="decimal"/>
      <w:lvlText w:val=""/>
      <w:lvlJc w:val="left"/>
    </w:lvl>
    <w:lvl w:ilvl="5" w:tplc="5EAC83AA">
      <w:numFmt w:val="decimal"/>
      <w:lvlText w:val=""/>
      <w:lvlJc w:val="left"/>
    </w:lvl>
    <w:lvl w:ilvl="6" w:tplc="B67A069C">
      <w:numFmt w:val="decimal"/>
      <w:lvlText w:val=""/>
      <w:lvlJc w:val="left"/>
    </w:lvl>
    <w:lvl w:ilvl="7" w:tplc="C8EA3EFE">
      <w:numFmt w:val="decimal"/>
      <w:lvlText w:val=""/>
      <w:lvlJc w:val="left"/>
    </w:lvl>
    <w:lvl w:ilvl="8" w:tplc="1270C808">
      <w:numFmt w:val="decimal"/>
      <w:lvlText w:val=""/>
      <w:lvlJc w:val="left"/>
    </w:lvl>
  </w:abstractNum>
  <w:abstractNum w:abstractNumId="1" w15:restartNumberingAfterBreak="0">
    <w:nsid w:val="724E73C5"/>
    <w:multiLevelType w:val="hybridMultilevel"/>
    <w:tmpl w:val="598CA14E"/>
    <w:lvl w:ilvl="0" w:tplc="D4BCB94A">
      <w:start w:val="1"/>
      <w:numFmt w:val="bullet"/>
      <w:lvlText w:val="●"/>
      <w:lvlJc w:val="left"/>
      <w:pPr>
        <w:ind w:left="720" w:hanging="360"/>
      </w:pPr>
    </w:lvl>
    <w:lvl w:ilvl="1" w:tplc="CDDCE7E4">
      <w:start w:val="1"/>
      <w:numFmt w:val="bullet"/>
      <w:lvlText w:val="○"/>
      <w:lvlJc w:val="left"/>
      <w:pPr>
        <w:ind w:left="1440" w:hanging="360"/>
      </w:pPr>
    </w:lvl>
    <w:lvl w:ilvl="2" w:tplc="CB6ED536">
      <w:start w:val="1"/>
      <w:numFmt w:val="bullet"/>
      <w:lvlText w:val="■"/>
      <w:lvlJc w:val="left"/>
      <w:pPr>
        <w:ind w:left="2160" w:hanging="360"/>
      </w:pPr>
    </w:lvl>
    <w:lvl w:ilvl="3" w:tplc="0DFE4726">
      <w:start w:val="1"/>
      <w:numFmt w:val="bullet"/>
      <w:lvlText w:val="●"/>
      <w:lvlJc w:val="left"/>
      <w:pPr>
        <w:ind w:left="2880" w:hanging="360"/>
      </w:pPr>
    </w:lvl>
    <w:lvl w:ilvl="4" w:tplc="0816A1EA">
      <w:start w:val="1"/>
      <w:numFmt w:val="bullet"/>
      <w:lvlText w:val="○"/>
      <w:lvlJc w:val="left"/>
      <w:pPr>
        <w:ind w:left="3600" w:hanging="360"/>
      </w:pPr>
    </w:lvl>
    <w:lvl w:ilvl="5" w:tplc="2090A784">
      <w:start w:val="1"/>
      <w:numFmt w:val="bullet"/>
      <w:lvlText w:val="■"/>
      <w:lvlJc w:val="left"/>
      <w:pPr>
        <w:ind w:left="4320" w:hanging="360"/>
      </w:pPr>
    </w:lvl>
    <w:lvl w:ilvl="6" w:tplc="F0C2D7BC">
      <w:start w:val="1"/>
      <w:numFmt w:val="bullet"/>
      <w:lvlText w:val="●"/>
      <w:lvlJc w:val="left"/>
      <w:pPr>
        <w:ind w:left="5040" w:hanging="360"/>
      </w:pPr>
    </w:lvl>
    <w:lvl w:ilvl="7" w:tplc="D68E8736">
      <w:start w:val="1"/>
      <w:numFmt w:val="bullet"/>
      <w:lvlText w:val="●"/>
      <w:lvlJc w:val="left"/>
      <w:pPr>
        <w:ind w:left="5760" w:hanging="360"/>
      </w:pPr>
    </w:lvl>
    <w:lvl w:ilvl="8" w:tplc="C0B68ED6">
      <w:start w:val="1"/>
      <w:numFmt w:val="bullet"/>
      <w:lvlText w:val="●"/>
      <w:lvlJc w:val="left"/>
      <w:pPr>
        <w:ind w:left="6480" w:hanging="360"/>
      </w:pPr>
    </w:lvl>
  </w:abstractNum>
  <w:num w:numId="1" w16cid:durableId="447049176">
    <w:abstractNumId w:val="1"/>
    <w:lvlOverride w:ilvl="0">
      <w:startOverride w:val="1"/>
    </w:lvlOverride>
  </w:num>
  <w:num w:numId="2" w16cid:durableId="38557076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6AF"/>
    <w:rsid w:val="001D26AF"/>
    <w:rsid w:val="00247537"/>
    <w:rsid w:val="004C37B0"/>
    <w:rsid w:val="0068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086E8"/>
  <w15:docId w15:val="{5590AC7F-1210-4F73-BBCB-87BA0745F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1"/>
        <w:szCs w:val="21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2</cp:revision>
  <dcterms:created xsi:type="dcterms:W3CDTF">2026-03-14T10:41:00Z</dcterms:created>
  <dcterms:modified xsi:type="dcterms:W3CDTF">2026-03-14T10:41:00Z</dcterms:modified>
</cp:coreProperties>
</file>